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Guía de Estilo y Tono de Comunicación Ejecutiva</w:t>
      </w:r>
    </w:p>
    <w:p>
      <w:pPr>
        <w:pStyle w:val="Heading1"/>
      </w:pPr>
      <w:r>
        <w:rPr>
          <w:color w:val="0B2545"/>
        </w:rPr>
        <w:t>Grupo Salinas – Principios del Lic. Ricardo B. Salinas</w:t>
      </w:r>
    </w:p>
    <w:p>
      <w:r>
        <w:rPr>
          <w:b/>
        </w:rPr>
        <w:t>Última revisión:</w:t>
      </w:r>
      <w:r>
        <w:t xml:space="preserve"> Enero 2026</w:t>
      </w:r>
    </w:p>
    <w:p>
      <w:r>
        <w:rPr>
          <w:b/>
        </w:rPr>
        <w:t>Audiencia:</w:t>
      </w:r>
      <w:r>
        <w:t xml:space="preserve"> Directores, Vicepresidentes y equipos de Staff Ejecutivo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Propósito</w:t>
      </w:r>
    </w:p>
    <w:p>
      <w:r>
        <w:t xml:space="preserve">Este documento establece los principios de comunicación escrita para documentos que lleguen al CEO, al Comité Ejecutivo, o que se distribuyan entre unidades de negocio de Grupo Salinas. El objetivo: </w:t>
      </w:r>
      <w:r>
        <w:rPr>
          <w:b/>
        </w:rPr>
        <w:t>claridad, rapidez, y acción.</w:t>
      </w:r>
    </w:p>
    <w:p>
      <w:pPr>
        <w:pStyle w:val="Heading1"/>
      </w:pPr>
      <w:r>
        <w:rPr>
          <w:color w:val="0B2545"/>
        </w:rPr>
        <w:t>Los 7 Principios</w:t>
      </w:r>
    </w:p>
    <w:p>
      <w:pPr>
        <w:pStyle w:val="Heading2"/>
      </w:pPr>
      <w:r>
        <w:rPr>
          <w:color w:val="0B2545"/>
        </w:rPr>
        <w:t>1. Información, no opinión</w:t>
      </w:r>
    </w:p>
    <w:p>
      <w:r>
        <w:t>Respaldar cada afirmación con un dato, una fuente o un hecho verificable. Si es opinión, decirlo explícitamente: "En mi opinión...", "Juicio del equipo...".</w:t>
      </w:r>
    </w:p>
    <w:p>
      <w:pPr>
        <w:pStyle w:val="Heading2"/>
      </w:pPr>
      <w:r>
        <w:rPr>
          <w:color w:val="0B2545"/>
        </w:rPr>
        <w:t>2. Primero el punto, luego el detalle</w:t>
      </w:r>
    </w:p>
    <w:p>
      <w:r>
        <w:t>Estructura tipo "bottom line up front" (BLUF). El primer párrafo o bullet debe contener la conclusión y la decisión requerida. El resto es evidencia.</w:t>
      </w:r>
    </w:p>
    <w:p>
      <w:pPr>
        <w:pStyle w:val="Heading2"/>
      </w:pPr>
      <w:r>
        <w:rPr>
          <w:color w:val="0B2545"/>
        </w:rPr>
        <w:t>3. Cifras concretas, no adjetivos</w:t>
      </w:r>
    </w:p>
    <w:p>
      <w:r>
        <w:t>No escribir "crecimiento significativo". Escribir "crecimiento de 8.4% YoY (+MXN 1,200M)". Evitar "muy importante", "sustancial", "considerable".</w:t>
      </w:r>
    </w:p>
    <w:p>
      <w:pPr>
        <w:pStyle w:val="Heading2"/>
      </w:pPr>
      <w:r>
        <w:rPr>
          <w:color w:val="0B2545"/>
        </w:rPr>
        <w:t>4. Una página cuando se pueda</w:t>
      </w:r>
    </w:p>
    <w:p>
      <w:r>
        <w:t>El Lic. prefiere memos de una página. Anexos aparte. Si un documento pasa de tres páginas sin ser financiero o técnico, probablemente está mal editado.</w:t>
      </w:r>
    </w:p>
    <w:p>
      <w:pPr>
        <w:pStyle w:val="Heading2"/>
      </w:pPr>
      <w:r>
        <w:rPr>
          <w:color w:val="0B2545"/>
        </w:rPr>
        <w:t>5. Decisión requerida explícita</w:t>
      </w:r>
    </w:p>
    <w:p>
      <w:r>
        <w:t>Todo memo debe indicar al final: "Decisión requerida: [X]", con opciones claras y la recomendación del autor.</w:t>
      </w:r>
    </w:p>
    <w:p>
      <w:pPr>
        <w:pStyle w:val="Heading2"/>
      </w:pPr>
      <w:r>
        <w:rPr>
          <w:color w:val="0B2545"/>
        </w:rPr>
        <w:t>6. Sin jerga innecesaria</w:t>
      </w:r>
    </w:p>
    <w:p>
      <w:r>
        <w:t>Evitar anglicismos cuando hay palabra en español igualmente precisa. "Enfoque" en vez de "approach", "reto" en vez de "challenge", "hito" en vez de "milestone". Excepciones justificadas: términos técnicos financieros (EBITDA, CapEx, NPS).</w:t>
      </w:r>
    </w:p>
    <w:p>
      <w:pPr>
        <w:pStyle w:val="Heading2"/>
      </w:pPr>
      <w:r>
        <w:rPr>
          <w:color w:val="0B2545"/>
        </w:rPr>
        <w:t>7. Respeto al tiempo del lector</w:t>
      </w:r>
    </w:p>
    <w:p>
      <w:r>
        <w:t>Un buen memo respeta que el lector tiene 15 minutos al día para leer documentos internos. Revisar dos veces antes de enviar.</w:t>
      </w:r>
    </w:p>
    <w:p>
      <w:pPr>
        <w:pStyle w:val="Heading1"/>
      </w:pPr>
      <w:r>
        <w:rPr>
          <w:color w:val="0B2545"/>
        </w:rPr>
        <w:t>Formato Estándar</w:t>
      </w:r>
    </w:p>
    <w:p>
      <w:r>
        <w:rPr>
          <w:b/>
        </w:rPr>
        <w:t>Encabezado obligatorio:</w:t>
      </w:r>
    </w:p>
    <w:p>
      <w:pPr>
        <w:pStyle w:val="ListBullet"/>
      </w:pPr>
      <w:r>
        <w:t>Para:</w:t>
      </w:r>
    </w:p>
    <w:p>
      <w:pPr>
        <w:pStyle w:val="ListBullet"/>
      </w:pPr>
      <w:r>
        <w:t>De:</w:t>
      </w:r>
    </w:p>
    <w:p>
      <w:pPr>
        <w:pStyle w:val="ListBullet"/>
      </w:pPr>
      <w:r>
        <w:t>Fecha:</w:t>
      </w:r>
    </w:p>
    <w:p>
      <w:pPr>
        <w:pStyle w:val="ListBullet"/>
      </w:pPr>
      <w:r>
        <w:t>Asunto:</w:t>
      </w:r>
    </w:p>
    <w:p>
      <w:pPr>
        <w:pStyle w:val="ListBullet"/>
      </w:pPr>
      <w:r>
        <w:t>Clasificación: (Público / Uso Interno / Confidencial)</w:t>
      </w:r>
    </w:p>
    <w:p>
      <w:r>
        <w:rPr>
          <w:b/>
        </w:rPr>
        <w:t>Estructura del cuerpo:</w:t>
      </w:r>
    </w:p>
    <w:p>
      <w:pPr>
        <w:pStyle w:val="ListNumber"/>
      </w:pPr>
      <w:r>
        <w:t>Recomendación / Decisión requerida (2-3 líneas).</w:t>
      </w:r>
    </w:p>
    <w:p>
      <w:pPr>
        <w:pStyle w:val="ListNumber"/>
      </w:pPr>
      <w:r>
        <w:t>Contexto (1 párrafo).</w:t>
      </w:r>
    </w:p>
    <w:p>
      <w:pPr>
        <w:pStyle w:val="ListNumber"/>
      </w:pPr>
      <w:r>
        <w:t>Evidencia / Análisis (bullets o tabla).</w:t>
      </w:r>
    </w:p>
    <w:p>
      <w:pPr>
        <w:pStyle w:val="ListNumber"/>
      </w:pPr>
      <w:r>
        <w:t>Riesgos y alternativas.</w:t>
      </w:r>
    </w:p>
    <w:p>
      <w:pPr>
        <w:pStyle w:val="ListNumber"/>
      </w:pPr>
      <w:r>
        <w:t>Siguientes pasos con responsable y fecha.</w:t>
      </w:r>
    </w:p>
    <w:p>
      <w:pPr>
        <w:pStyle w:val="Heading1"/>
      </w:pPr>
      <w:r>
        <w:rPr>
          <w:color w:val="0B2545"/>
        </w:rPr>
        <w:t>Lo que NO hacer</w:t>
      </w:r>
    </w:p>
    <w:p>
      <w:pPr>
        <w:pStyle w:val="ListBullet"/>
      </w:pPr>
      <w:r>
        <w:t>No iniciar con "Esperando se encuentre bien..." ni fórmulas de cortesía largas.</w:t>
      </w:r>
    </w:p>
    <w:p>
      <w:pPr>
        <w:pStyle w:val="ListBullet"/>
      </w:pPr>
      <w:r>
        <w:t>No usar metáforas deportivas, bélicas o gastronómicas como sustituto de análisis.</w:t>
      </w:r>
    </w:p>
    <w:p>
      <w:pPr>
        <w:pStyle w:val="ListBullet"/>
      </w:pPr>
      <w:r>
        <w:t>No presentar análisis sin recomendación.</w:t>
      </w:r>
    </w:p>
    <w:p>
      <w:pPr>
        <w:pStyle w:val="ListBullet"/>
      </w:pPr>
      <w:r>
        <w:t>No ocultar malas noticias en el cuerpo del documento.</w:t>
      </w:r>
    </w:p>
    <w:p>
      <w:pPr>
        <w:pStyle w:val="ListBullet"/>
      </w:pPr>
      <w:r>
        <w:t>No usar siglas sin definirlas la primera vez que aparecen.</w:t>
      </w:r>
    </w:p>
    <w:p>
      <w:pPr>
        <w:pStyle w:val="Heading1"/>
      </w:pPr>
      <w:r>
        <w:rPr>
          <w:color w:val="0B2545"/>
        </w:rPr>
        <w:t>Ejemplo de apertura bien escrita</w:t>
      </w:r>
    </w:p>
    <w:p>
      <w:pPr>
        <w:ind w:left="454"/>
      </w:pPr>
      <w:r>
        <w:rPr>
          <w:i/>
          <w:color w:val="5B6676"/>
        </w:rPr>
        <w:t>"Recomendamos aprobar la inversión de MXN 2,800M en Banco Azteca Digital en 24 meses, con payback proyectado en 36 meses y TIR de 22%. La alternativa de no invertir implicaría pérdida estimada de 3.5M clientes &lt;35 años a fintechs hacia 2028. Decisión requerida en Comité Ejecutivo del 20 de mayo."</w:t>
      </w:r>
    </w:p>
    <w:p>
      <w:pPr>
        <w:pStyle w:val="Heading1"/>
      </w:pPr>
      <w:r>
        <w:rPr>
          <w:color w:val="0B2545"/>
        </w:rPr>
        <w:t>Ejemplo de apertura mal escrita</w:t>
      </w:r>
    </w:p>
    <w:p>
      <w:pPr>
        <w:ind w:left="454"/>
      </w:pPr>
      <w:r>
        <w:rPr>
          <w:i/>
          <w:color w:val="5B6676"/>
        </w:rPr>
        <w:t>"Como sabemos, el mundo financiero está cambiando a gran velocidad y las fintechs representan un reto muy importante para nuestro negocio bancario. A continuación presentamos algunas consideraciones relevantes..."</w:t>
      </w:r>
    </w:p>
    <w:p>
      <w:pPr>
        <w:pBdr>
          <w:bottom w:val="single" w:sz="6" w:space="1" w:color="B0B6C2"/>
        </w:pBdr>
      </w:pPr>
    </w:p>
    <w:p>
      <w:r>
        <w:rPr>
          <w:i/>
        </w:rPr>
        <w:t>Este documento es parte del onboarding de todo Director y Vicepresidente de nuevo ingreso.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